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EB" w:rsidRDefault="002A0BC1" w:rsidP="002A0BC1">
      <w:pPr>
        <w:rPr>
          <w:b/>
          <w:u w:val="single"/>
        </w:rPr>
      </w:pPr>
      <w:r w:rsidRPr="002A0BC1">
        <w:rPr>
          <w:b/>
          <w:u w:val="single"/>
        </w:rPr>
        <w:t>GUIDE – SPLIT CONSULTATION</w:t>
      </w:r>
      <w:bookmarkStart w:id="0" w:name="_GoBack"/>
      <w:bookmarkEnd w:id="0"/>
    </w:p>
    <w:p w:rsidR="00F178EB" w:rsidRDefault="002A0BC1" w:rsidP="002A0BC1">
      <w:r>
        <w:t>OCCG has split</w:t>
      </w:r>
      <w:r w:rsidR="007247EA">
        <w:t xml:space="preserve"> consultation</w:t>
      </w:r>
      <w:r>
        <w:t xml:space="preserve"> on proposed changes in</w:t>
      </w:r>
      <w:r w:rsidR="007247EA">
        <w:t xml:space="preserve"> Oxfordshire health services into two sections, giving the public </w:t>
      </w:r>
      <w:r w:rsidR="00110480">
        <w:t>no opportunity to see how</w:t>
      </w:r>
      <w:r w:rsidR="007247EA">
        <w:t xml:space="preserve"> decisions taken now</w:t>
      </w:r>
      <w:r w:rsidR="00110480">
        <w:t xml:space="preserve"> </w:t>
      </w:r>
      <w:r w:rsidR="004E0640">
        <w:t>on the Horton General Hospital</w:t>
      </w:r>
      <w:r w:rsidR="00110480">
        <w:t xml:space="preserve"> might be affected by</w:t>
      </w:r>
      <w:r w:rsidR="007247EA">
        <w:t xml:space="preserve"> </w:t>
      </w:r>
      <w:r w:rsidR="00110480">
        <w:t>matters</w:t>
      </w:r>
      <w:r>
        <w:t xml:space="preserve"> </w:t>
      </w:r>
      <w:r w:rsidR="004E0640">
        <w:t>(</w:t>
      </w:r>
      <w:r>
        <w:t>some</w:t>
      </w:r>
      <w:r w:rsidR="00110480">
        <w:t xml:space="preserve"> still </w:t>
      </w:r>
      <w:r w:rsidR="004E0640">
        <w:t>not finalised)</w:t>
      </w:r>
      <w:r w:rsidR="00110480">
        <w:t xml:space="preserve"> that will</w:t>
      </w:r>
      <w:r w:rsidR="004E0640">
        <w:t xml:space="preserve"> not</w:t>
      </w:r>
      <w:r w:rsidR="00110480">
        <w:t xml:space="preserve"> be consulted on </w:t>
      </w:r>
      <w:r w:rsidR="004E0640">
        <w:t>until November at the earliest (according to January CCG minutes</w:t>
      </w:r>
      <w:r>
        <w:t>)</w:t>
      </w:r>
      <w:r w:rsidR="00110480">
        <w:t>.</w:t>
      </w:r>
      <w:r w:rsidR="007247EA">
        <w:t xml:space="preserve"> This makes the current consultation </w:t>
      </w:r>
      <w:r w:rsidR="00110480">
        <w:t>devoid of essential information</w:t>
      </w:r>
      <w:r w:rsidR="004E0640">
        <w:t>,</w:t>
      </w:r>
      <w:r w:rsidR="00110480">
        <w:t xml:space="preserve"> </w:t>
      </w:r>
      <w:r w:rsidR="007247EA">
        <w:t>imperfect, unbalanced and unfair.</w:t>
      </w:r>
    </w:p>
    <w:p w:rsidR="00F178EB" w:rsidRDefault="00F178EB" w:rsidP="002A0BC1"/>
    <w:p w:rsidR="00F178EB" w:rsidRDefault="002A0BC1" w:rsidP="00F178EB">
      <w:r>
        <w:t xml:space="preserve">The split consultation can be seen on almost all pages of the OTP. Readers will see references to ‘we will be considering this in Phase 2’. </w:t>
      </w:r>
    </w:p>
    <w:p w:rsidR="00F178EB" w:rsidRDefault="00F178EB" w:rsidP="00F178EB"/>
    <w:p w:rsidR="00F178EB" w:rsidRDefault="002A0BC1" w:rsidP="00F178EB">
      <w:r>
        <w:t>Phase 1 (current consultation) includes:</w:t>
      </w:r>
    </w:p>
    <w:p w:rsidR="00F178EB" w:rsidRDefault="00F178EB" w:rsidP="00F178EB"/>
    <w:p w:rsidR="00F178EB" w:rsidRDefault="002A0BC1" w:rsidP="00F178EB">
      <w:pPr>
        <w:pStyle w:val="ListParagraph"/>
        <w:numPr>
          <w:ilvl w:val="0"/>
          <w:numId w:val="2"/>
        </w:numPr>
      </w:pPr>
      <w:r>
        <w:t>CCU (critical care unit) to exclude ventilation for very ill patients</w:t>
      </w:r>
      <w:r>
        <w:br/>
        <w:t xml:space="preserve">2) Stroke care </w:t>
      </w:r>
      <w:r w:rsidR="004E0640">
        <w:t>– new protocols</w:t>
      </w:r>
      <w:r>
        <w:br/>
        <w:t xml:space="preserve">3) Consultant-led maternity and emergency gynaecology </w:t>
      </w:r>
      <w:r w:rsidR="004E0640">
        <w:t>permanent removal</w:t>
      </w:r>
      <w:r>
        <w:br/>
        <w:t>4) Special Care Baby Unit</w:t>
      </w:r>
      <w:r w:rsidR="004E0640">
        <w:t xml:space="preserve"> permanent removal</w:t>
      </w:r>
      <w:r>
        <w:br/>
        <w:t xml:space="preserve">5) Adult medicine (36 beds closed) </w:t>
      </w:r>
      <w:r>
        <w:br/>
        <w:t>6) Trauma (loss of 10 of 28 beds)</w:t>
      </w:r>
    </w:p>
    <w:p w:rsidR="00F178EB" w:rsidRDefault="00F178EB" w:rsidP="00F178EB"/>
    <w:p w:rsidR="002A0BC1" w:rsidRDefault="002A0BC1" w:rsidP="00F178EB">
      <w:pPr>
        <w:pStyle w:val="ListParagraph"/>
        <w:numPr>
          <w:ilvl w:val="0"/>
          <w:numId w:val="2"/>
        </w:numPr>
      </w:pPr>
      <w:r>
        <w:t xml:space="preserve">Phase 2 includes </w:t>
      </w:r>
    </w:p>
    <w:p w:rsidR="00F178EB" w:rsidRDefault="00F178EB" w:rsidP="00F178EB">
      <w:pPr>
        <w:pStyle w:val="ListParagraph"/>
      </w:pPr>
    </w:p>
    <w:p w:rsidR="002A0BC1" w:rsidRDefault="002A0BC1" w:rsidP="002A0BC1">
      <w:pPr>
        <w:spacing w:after="0" w:line="240" w:lineRule="auto"/>
      </w:pPr>
      <w:r>
        <w:t>1) 24-hour consulta</w:t>
      </w:r>
      <w:r w:rsidR="004E0640">
        <w:t>nt-led Horton Children’s Ward to become ‘ambulatory’</w:t>
      </w:r>
    </w:p>
    <w:p w:rsidR="002A0BC1" w:rsidRDefault="002A0BC1" w:rsidP="002A0BC1">
      <w:pPr>
        <w:spacing w:after="0" w:line="240" w:lineRule="auto"/>
      </w:pPr>
      <w:r>
        <w:t>2) Horton General Hospital’s Acci</w:t>
      </w:r>
      <w:r w:rsidR="004E0640">
        <w:t>dent and Emergency Department to be downgraded</w:t>
      </w:r>
    </w:p>
    <w:p w:rsidR="002A0BC1" w:rsidRDefault="002A0BC1" w:rsidP="002A0BC1">
      <w:pPr>
        <w:spacing w:after="0" w:line="240" w:lineRule="auto"/>
      </w:pPr>
      <w:r>
        <w:t xml:space="preserve">3) Access to GPs </w:t>
      </w:r>
    </w:p>
    <w:p w:rsidR="002A0BC1" w:rsidRDefault="002A0BC1" w:rsidP="002A0BC1">
      <w:pPr>
        <w:spacing w:after="0" w:line="240" w:lineRule="auto"/>
      </w:pPr>
      <w:r>
        <w:t>4) Joining up Health and Social Care services (a major element since most social care is in the</w:t>
      </w:r>
      <w:r w:rsidR="00C06342">
        <w:t xml:space="preserve"> private sector, not the NHS)</w:t>
      </w:r>
    </w:p>
    <w:p w:rsidR="002A0BC1" w:rsidRDefault="002A0BC1" w:rsidP="002A0BC1">
      <w:pPr>
        <w:spacing w:after="0" w:line="240" w:lineRule="auto"/>
      </w:pPr>
      <w:r>
        <w:t xml:space="preserve">5) Use of technology – in which patients will be consulted via tablets/smart </w:t>
      </w:r>
      <w:r w:rsidR="00C06342">
        <w:t>technology instead of in person</w:t>
      </w:r>
      <w:r>
        <w:t xml:space="preserve"> </w:t>
      </w:r>
    </w:p>
    <w:p w:rsidR="002A0BC1" w:rsidRDefault="002A0BC1" w:rsidP="002A0BC1">
      <w:pPr>
        <w:spacing w:after="0" w:line="240" w:lineRule="auto"/>
      </w:pPr>
      <w:r>
        <w:t>6) Mental H</w:t>
      </w:r>
      <w:r w:rsidR="004E0640">
        <w:t>ealth services which are worryingly inadequate</w:t>
      </w:r>
    </w:p>
    <w:p w:rsidR="002A0BC1" w:rsidRDefault="002A0BC1" w:rsidP="002A0BC1">
      <w:pPr>
        <w:spacing w:after="0" w:line="240" w:lineRule="auto"/>
      </w:pPr>
      <w:r>
        <w:t xml:space="preserve">7) Primary care – the cornerstone for the entire plan to move care out of hospitals to home or care homes  </w:t>
      </w:r>
    </w:p>
    <w:p w:rsidR="002A0BC1" w:rsidRDefault="002A0BC1" w:rsidP="002A0BC1">
      <w:pPr>
        <w:spacing w:after="0" w:line="240" w:lineRule="auto"/>
      </w:pPr>
      <w:r>
        <w:t xml:space="preserve">8) Replacement of consultant-led maternity units for midwife-only units (home birth in hospital);  </w:t>
      </w:r>
    </w:p>
    <w:p w:rsidR="002A0BC1" w:rsidRDefault="002A0BC1" w:rsidP="002A0BC1">
      <w:pPr>
        <w:spacing w:after="0" w:line="240" w:lineRule="auto"/>
      </w:pPr>
      <w:r>
        <w:t>9) Future o</w:t>
      </w:r>
      <w:r w:rsidR="00C06342">
        <w:t>f midwife-only maternity units</w:t>
      </w:r>
      <w:r>
        <w:t xml:space="preserve"> </w:t>
      </w:r>
    </w:p>
    <w:p w:rsidR="002A0BC1" w:rsidRDefault="002A0BC1" w:rsidP="002A0BC1">
      <w:pPr>
        <w:spacing w:after="0" w:line="240" w:lineRule="auto"/>
      </w:pPr>
      <w:r>
        <w:t xml:space="preserve">10) The future of community hospitals </w:t>
      </w:r>
    </w:p>
    <w:p w:rsidR="00F178EB" w:rsidRDefault="002A0BC1" w:rsidP="002A0BC1">
      <w:pPr>
        <w:spacing w:after="0" w:line="240" w:lineRule="auto"/>
      </w:pPr>
      <w:r>
        <w:t>11) ‘Other ideas</w:t>
      </w:r>
      <w:r w:rsidR="00C06342">
        <w:t>’ being developed.</w:t>
      </w:r>
    </w:p>
    <w:p w:rsidR="00F178EB" w:rsidRDefault="00F178EB" w:rsidP="002A0BC1">
      <w:pPr>
        <w:spacing w:after="0" w:line="240" w:lineRule="auto"/>
      </w:pPr>
    </w:p>
    <w:p w:rsidR="00F178EB" w:rsidRDefault="00F178EB" w:rsidP="008B6985">
      <w:pPr>
        <w:spacing w:after="0" w:line="240" w:lineRule="auto"/>
      </w:pPr>
      <w:r>
        <w:t>T</w:t>
      </w:r>
      <w:r w:rsidR="00110480">
        <w:t>he Bucks, O</w:t>
      </w:r>
      <w:r w:rsidR="00C06342">
        <w:t>xon and Berks STP (BOB STP), of</w:t>
      </w:r>
      <w:r w:rsidR="00110480">
        <w:t xml:space="preserve"> which the Oxfordshire Transformation Plan is a major part, was designed with</w:t>
      </w:r>
      <w:r w:rsidR="007247EA">
        <w:t xml:space="preserve"> a single consultation on </w:t>
      </w:r>
      <w:r w:rsidR="007247EA">
        <w:rPr>
          <w:color w:val="FF0000"/>
        </w:rPr>
        <w:t>all of the Horton’s acute services</w:t>
      </w:r>
      <w:r w:rsidR="004E0640">
        <w:t xml:space="preserve"> (See p89 of the BOB STP).</w:t>
      </w:r>
      <w:r w:rsidR="00C06342">
        <w:t xml:space="preserve"> This has </w:t>
      </w:r>
      <w:r w:rsidR="004E0640">
        <w:t xml:space="preserve">been changed between </w:t>
      </w:r>
      <w:proofErr w:type="gramStart"/>
      <w:r w:rsidR="004E0640">
        <w:t>October</w:t>
      </w:r>
      <w:proofErr w:type="gramEnd"/>
      <w:r w:rsidR="004E0640">
        <w:t xml:space="preserve"> -</w:t>
      </w:r>
      <w:r w:rsidR="00C06342">
        <w:t xml:space="preserve"> January.</w:t>
      </w:r>
      <w:r w:rsidR="007247EA">
        <w:t xml:space="preserve"> </w:t>
      </w:r>
      <w:r w:rsidR="00C06342">
        <w:t>It seems</w:t>
      </w:r>
      <w:r w:rsidR="004E0640">
        <w:t xml:space="preserve"> the OUHT/</w:t>
      </w:r>
      <w:r w:rsidR="00874454">
        <w:t xml:space="preserve">OCCG </w:t>
      </w:r>
      <w:r w:rsidR="00C06342">
        <w:t>felt</w:t>
      </w:r>
      <w:r w:rsidR="00874454">
        <w:t xml:space="preserve"> this would cause an intense ou</w:t>
      </w:r>
      <w:r w:rsidR="008B6985">
        <w:t>tcry, calls for re</w:t>
      </w:r>
      <w:r w:rsidR="00C06342">
        <w:t>-</w:t>
      </w:r>
      <w:r w:rsidR="008B6985">
        <w:t xml:space="preserve">involvement of the Independent Reconfiguration Panel that rejected Horton downgrading in 2008 and a long delay to the </w:t>
      </w:r>
      <w:r w:rsidR="00C06342">
        <w:t xml:space="preserve">nationwide </w:t>
      </w:r>
      <w:r w:rsidR="004E0640">
        <w:t>STP</w:t>
      </w:r>
      <w:r w:rsidR="008B6985">
        <w:t xml:space="preserve"> </w:t>
      </w:r>
      <w:r w:rsidR="00606EBF">
        <w:t xml:space="preserve">project. </w:t>
      </w:r>
      <w:r w:rsidR="004173BC">
        <w:t xml:space="preserve">Deputy </w:t>
      </w:r>
      <w:r w:rsidR="004173BC">
        <w:lastRenderedPageBreak/>
        <w:t xml:space="preserve">CEO of the CCG, Diane Hedges, told CPN this intervention would cause a year’s delay which could not be afforded by the deadlines. </w:t>
      </w:r>
      <w:r w:rsidR="00606EBF">
        <w:t>Campaigners believe</w:t>
      </w:r>
      <w:r w:rsidR="008B6985">
        <w:t xml:space="preserve"> division of the consultation </w:t>
      </w:r>
      <w:r w:rsidR="00606EBF">
        <w:t>is designed to</w:t>
      </w:r>
      <w:r w:rsidR="008B6985">
        <w:t xml:space="preserve"> make it easier to achieve downgrading of the Horton </w:t>
      </w:r>
      <w:r w:rsidR="004E0640">
        <w:t>piecemeal</w:t>
      </w:r>
      <w:r w:rsidR="008B6985">
        <w:t>.</w:t>
      </w:r>
    </w:p>
    <w:p w:rsidR="00F178EB" w:rsidRDefault="00F178EB" w:rsidP="008B6985">
      <w:pPr>
        <w:spacing w:after="0" w:line="240" w:lineRule="auto"/>
      </w:pPr>
    </w:p>
    <w:p w:rsidR="00F178EB" w:rsidRDefault="00320043" w:rsidP="000625D6">
      <w:pPr>
        <w:spacing w:after="0" w:line="240" w:lineRule="auto"/>
      </w:pPr>
      <w:r>
        <w:t xml:space="preserve">The paper describes A&amp;E and paediatric services still being ‘worked up’. </w:t>
      </w:r>
      <w:r w:rsidR="005A0CB5">
        <w:t xml:space="preserve">This is unacceptable. </w:t>
      </w:r>
      <w:r w:rsidR="00B45D92">
        <w:t>Splitting consultations about consultant-led and midwife</w:t>
      </w:r>
      <w:r w:rsidR="005A0CB5">
        <w:t>-only maternity units is extraordinary;</w:t>
      </w:r>
      <w:r w:rsidR="00B45D92">
        <w:t xml:space="preserve"> impractical and unworkable. The two MU</w:t>
      </w:r>
      <w:r w:rsidR="004173BC">
        <w:t>ST be done together. Mothers,</w:t>
      </w:r>
      <w:r w:rsidR="00B45D92">
        <w:t xml:space="preserve"> residents</w:t>
      </w:r>
      <w:r w:rsidR="004173BC">
        <w:t>, GPs and other stakeholders</w:t>
      </w:r>
      <w:r w:rsidR="00B45D92">
        <w:t xml:space="preserve"> m</w:t>
      </w:r>
      <w:r w:rsidR="005A0CB5">
        <w:t>ust know what</w:t>
      </w:r>
      <w:r w:rsidR="00B727AE">
        <w:t xml:space="preserve"> service</w:t>
      </w:r>
      <w:r w:rsidR="005A0CB5">
        <w:t xml:space="preserve"> </w:t>
      </w:r>
      <w:r w:rsidR="00B727AE">
        <w:t>will</w:t>
      </w:r>
      <w:r w:rsidR="00B45D92">
        <w:t xml:space="preserve"> be in place before they can give an informed opinion about consultant-led units. </w:t>
      </w:r>
    </w:p>
    <w:p w:rsidR="00F178EB" w:rsidRDefault="00F178EB" w:rsidP="000625D6">
      <w:pPr>
        <w:spacing w:after="0" w:line="240" w:lineRule="auto"/>
      </w:pPr>
    </w:p>
    <w:p w:rsidR="00F178EB" w:rsidRDefault="00A91A78" w:rsidP="005A0CB5">
      <w:pPr>
        <w:spacing w:after="0" w:line="240" w:lineRule="auto"/>
      </w:pPr>
      <w:r>
        <w:t xml:space="preserve">The OTP </w:t>
      </w:r>
      <w:r w:rsidR="004173BC">
        <w:t>denies</w:t>
      </w:r>
      <w:r>
        <w:t xml:space="preserve"> patients and the public any knowledge, information or discussion about future service provision which is directly affected by the services in consultation now that directly and indirect</w:t>
      </w:r>
      <w:r w:rsidR="004173BC">
        <w:t>ly affect ‘phase 2’ proposals. Details of</w:t>
      </w:r>
      <w:r>
        <w:t xml:space="preserve"> proposals in phase 2 are essential to inform any meaningful consideration or response to this document. </w:t>
      </w:r>
      <w:r w:rsidR="004173BC">
        <w:t>Lack of this information</w:t>
      </w:r>
      <w:r>
        <w:t xml:space="preserve"> renders this consultation unworkable and it must be considered invalid.</w:t>
      </w:r>
    </w:p>
    <w:p w:rsidR="00F178EB" w:rsidRDefault="00F178EB" w:rsidP="005A0CB5">
      <w:pPr>
        <w:spacing w:after="0" w:line="240" w:lineRule="auto"/>
      </w:pPr>
    </w:p>
    <w:p w:rsidR="00F178EB" w:rsidRDefault="004173BC" w:rsidP="00F178EB">
      <w:pPr>
        <w:spacing w:after="0" w:line="240" w:lineRule="auto"/>
      </w:pPr>
      <w:r>
        <w:t>The document is fatally flawed because</w:t>
      </w:r>
      <w:r w:rsidR="005A0CB5">
        <w:t xml:space="preserve"> it relies on people having no, insufficient, unknown, or distorted information on </w:t>
      </w:r>
      <w:r w:rsidR="009654B8">
        <w:t>the proposals by dividing consultations.</w:t>
      </w:r>
    </w:p>
    <w:p w:rsidR="00F178EB" w:rsidRDefault="00F178EB" w:rsidP="00F178EB">
      <w:pPr>
        <w:spacing w:after="0" w:line="240" w:lineRule="auto"/>
      </w:pPr>
    </w:p>
    <w:p w:rsidR="00F178EB" w:rsidRDefault="00C646AC" w:rsidP="00280C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t xml:space="preserve">The PCBC (p90) demonstrates the two phase consultation is inadequate when it admits the ambulatory model will be ‘more coherent’ when people see the proposals in Phase 2 </w:t>
      </w:r>
      <w:r>
        <w:rPr>
          <w:sz w:val="20"/>
          <w:szCs w:val="20"/>
        </w:rPr>
        <w:t>–</w:t>
      </w:r>
      <w:r w:rsidRPr="00C646AC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C646AC">
        <w:rPr>
          <w:rFonts w:ascii="Arial" w:eastAsia="Times New Roman" w:hAnsi="Arial" w:cs="Arial"/>
          <w:sz w:val="20"/>
          <w:szCs w:val="20"/>
          <w:lang w:eastAsia="en-GB"/>
        </w:rPr>
        <w:t>Conversely, some of the options being considered are more clearly described in the context of the Transformation Programme’s new models of care in community settings (Phase 2</w:t>
      </w:r>
      <w:r w:rsidR="004173BC">
        <w:rPr>
          <w:rFonts w:ascii="Arial" w:eastAsia="Times New Roman" w:hAnsi="Arial" w:cs="Arial"/>
          <w:sz w:val="20"/>
          <w:szCs w:val="20"/>
          <w:lang w:eastAsia="en-GB"/>
        </w:rPr>
        <w:t>..</w:t>
      </w:r>
      <w:r w:rsidRPr="00C646AC">
        <w:rPr>
          <w:rFonts w:ascii="Arial" w:eastAsia="Times New Roman" w:hAnsi="Arial" w:cs="Arial"/>
          <w:sz w:val="20"/>
          <w:szCs w:val="20"/>
          <w:lang w:eastAsia="en-GB"/>
        </w:rPr>
        <w:t>. For some options it would therefore be more clinically coherent and explicable to the public to consul</w:t>
      </w:r>
      <w:r>
        <w:rPr>
          <w:rFonts w:ascii="Arial" w:eastAsia="Times New Roman" w:hAnsi="Arial" w:cs="Arial"/>
          <w:sz w:val="20"/>
          <w:szCs w:val="20"/>
          <w:lang w:eastAsia="en-GB"/>
        </w:rPr>
        <w:t>t during the Phase Two process.”</w:t>
      </w:r>
    </w:p>
    <w:p w:rsidR="00F178EB" w:rsidRDefault="00F178EB" w:rsidP="00280C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F178EB" w:rsidRDefault="00280C22" w:rsidP="00F1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More evidence: p92 - </w:t>
      </w:r>
      <w:r w:rsidRPr="00280C22">
        <w:rPr>
          <w:rFonts w:ascii="Arial" w:eastAsia="Times New Roman" w:hAnsi="Arial" w:cs="Arial"/>
          <w:sz w:val="20"/>
          <w:szCs w:val="20"/>
          <w:lang w:eastAsia="en-GB"/>
        </w:rPr>
        <w:t>There is a clinical interdependency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(for CCU) </w:t>
      </w:r>
      <w:r w:rsidRPr="00280C22">
        <w:rPr>
          <w:rFonts w:ascii="Arial" w:eastAsia="Times New Roman" w:hAnsi="Arial" w:cs="Arial"/>
          <w:sz w:val="20"/>
          <w:szCs w:val="20"/>
          <w:lang w:eastAsia="en-GB"/>
        </w:rPr>
        <w:t xml:space="preserve">with Accident and Emergency Services, and the clinical model for this service will be consulted upon in Phase 2 of the Programme. </w:t>
      </w:r>
    </w:p>
    <w:p w:rsidR="00F178EB" w:rsidRDefault="00F178EB" w:rsidP="00F1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F178EB" w:rsidRDefault="00183688" w:rsidP="00F1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p 94 </w:t>
      </w:r>
      <w:r w:rsidR="004173BC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183688">
        <w:rPr>
          <w:rFonts w:ascii="Arial" w:eastAsia="Times New Roman" w:hAnsi="Arial" w:cs="Arial"/>
          <w:sz w:val="20"/>
          <w:szCs w:val="20"/>
          <w:lang w:eastAsia="en-GB"/>
        </w:rPr>
        <w:t>vailability of beds in the Hyper Acute Stroke Unit at the John Radcliffe</w:t>
      </w:r>
      <w:r w:rsidR="004173BC">
        <w:rPr>
          <w:rFonts w:ascii="Arial" w:eastAsia="Times New Roman" w:hAnsi="Arial" w:cs="Arial"/>
          <w:sz w:val="20"/>
          <w:szCs w:val="20"/>
          <w:lang w:eastAsia="en-GB"/>
        </w:rPr>
        <w:t xml:space="preserve">... </w:t>
      </w:r>
      <w:r w:rsidRPr="00183688">
        <w:rPr>
          <w:rFonts w:ascii="Arial" w:eastAsia="Times New Roman" w:hAnsi="Arial" w:cs="Arial"/>
          <w:sz w:val="20"/>
          <w:szCs w:val="20"/>
          <w:lang w:eastAsia="en-GB"/>
        </w:rPr>
        <w:t xml:space="preserve">is linked to the Delayed Transfer of Care </w:t>
      </w:r>
      <w:r w:rsidR="004173BC">
        <w:rPr>
          <w:rFonts w:ascii="Arial" w:eastAsia="Times New Roman" w:hAnsi="Arial" w:cs="Arial"/>
          <w:sz w:val="20"/>
          <w:szCs w:val="20"/>
          <w:lang w:eastAsia="en-GB"/>
        </w:rPr>
        <w:t>initiative described..</w:t>
      </w:r>
      <w:r w:rsidR="00F178EB">
        <w:rPr>
          <w:rFonts w:ascii="Arial" w:eastAsia="Times New Roman" w:hAnsi="Arial" w:cs="Arial"/>
          <w:sz w:val="20"/>
          <w:szCs w:val="20"/>
          <w:lang w:eastAsia="en-GB"/>
        </w:rPr>
        <w:t>. If this is unsuccessful</w:t>
      </w:r>
      <w:r w:rsidRPr="00183688">
        <w:rPr>
          <w:rFonts w:ascii="Arial" w:eastAsia="Times New Roman" w:hAnsi="Arial" w:cs="Arial"/>
          <w:sz w:val="20"/>
          <w:szCs w:val="20"/>
          <w:lang w:eastAsia="en-GB"/>
        </w:rPr>
        <w:t xml:space="preserve"> it will become difficult to move patients through the pathway as the community rehabilitation beds become over-subscribed. </w:t>
      </w:r>
    </w:p>
    <w:p w:rsidR="00F178EB" w:rsidRDefault="00F178EB" w:rsidP="00F1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80C22" w:rsidRPr="00C646AC" w:rsidRDefault="00183688" w:rsidP="00F178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183688">
        <w:rPr>
          <w:rFonts w:ascii="Arial" w:eastAsia="Times New Roman" w:hAnsi="Arial" w:cs="Arial"/>
          <w:sz w:val="20"/>
          <w:szCs w:val="20"/>
          <w:lang w:eastAsia="en-GB"/>
        </w:rPr>
        <w:t xml:space="preserve">This risk will be considered during the development work on the future of Community Hospitals in Phase Two. </w:t>
      </w:r>
      <w:r w:rsidR="004173BC">
        <w:rPr>
          <w:rFonts w:ascii="Arial" w:eastAsia="Times New Roman" w:hAnsi="Arial" w:cs="Arial"/>
          <w:sz w:val="20"/>
          <w:szCs w:val="20"/>
          <w:lang w:eastAsia="en-GB"/>
        </w:rPr>
        <w:t xml:space="preserve">The Transformation documents admit that much of the theory cannot be considered properly without access to information from Phase 2 which is now being touted as </w:t>
      </w:r>
      <w:r w:rsidR="0084637F">
        <w:rPr>
          <w:rFonts w:ascii="Arial" w:eastAsia="Times New Roman" w:hAnsi="Arial" w:cs="Arial"/>
          <w:sz w:val="20"/>
          <w:szCs w:val="20"/>
          <w:lang w:eastAsia="en-GB"/>
        </w:rPr>
        <w:t>impossible before November 2017 (OCCG minutes January 27, 2017).</w:t>
      </w:r>
    </w:p>
    <w:p w:rsidR="005A0CB5" w:rsidRDefault="005A0CB5" w:rsidP="000625D6">
      <w:pPr>
        <w:spacing w:after="0" w:line="240" w:lineRule="auto"/>
      </w:pPr>
    </w:p>
    <w:sectPr w:rsidR="005A0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302"/>
    <w:multiLevelType w:val="hybridMultilevel"/>
    <w:tmpl w:val="1B04D5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4C73"/>
    <w:multiLevelType w:val="hybridMultilevel"/>
    <w:tmpl w:val="014E79D2"/>
    <w:lvl w:ilvl="0" w:tplc="BAD4F29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52"/>
    <w:rsid w:val="000625D6"/>
    <w:rsid w:val="00110480"/>
    <w:rsid w:val="00183688"/>
    <w:rsid w:val="001E421F"/>
    <w:rsid w:val="00202BAA"/>
    <w:rsid w:val="00280C22"/>
    <w:rsid w:val="002A0BC1"/>
    <w:rsid w:val="00320043"/>
    <w:rsid w:val="004173BC"/>
    <w:rsid w:val="004E0640"/>
    <w:rsid w:val="005A0CB5"/>
    <w:rsid w:val="005E093D"/>
    <w:rsid w:val="00606EBF"/>
    <w:rsid w:val="006508E3"/>
    <w:rsid w:val="007247EA"/>
    <w:rsid w:val="0084637F"/>
    <w:rsid w:val="00874454"/>
    <w:rsid w:val="008B6985"/>
    <w:rsid w:val="009654B8"/>
    <w:rsid w:val="00A6638E"/>
    <w:rsid w:val="00A91A78"/>
    <w:rsid w:val="00B24352"/>
    <w:rsid w:val="00B45D92"/>
    <w:rsid w:val="00B727AE"/>
    <w:rsid w:val="00C06342"/>
    <w:rsid w:val="00C646AC"/>
    <w:rsid w:val="00DE3409"/>
    <w:rsid w:val="00E517C9"/>
    <w:rsid w:val="00EE177D"/>
    <w:rsid w:val="00F178EB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KTHG</dc:creator>
  <cp:lastModifiedBy>KTHG</cp:lastModifiedBy>
  <cp:revision>6</cp:revision>
  <dcterms:created xsi:type="dcterms:W3CDTF">2017-03-01T23:01:00Z</dcterms:created>
  <dcterms:modified xsi:type="dcterms:W3CDTF">2017-03-13T17:32:00Z</dcterms:modified>
</cp:coreProperties>
</file>